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22" w:rsidRDefault="001E3222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di cui all’articolo 20 del D. Lgs. 39/2013 in materia di inconferibilità e incompatibilità di incarichi presso le pubbliche amministrazioni e presso gli enti privati in controllo pubblico, a norma dell’articolo 1, commi 49 e 50, della legge 6 novembre 2012, n.190; dichiarazione di insussistenza cause di incandidabilità (art. 10 D.lgs. 235/2012- art.6 D.lgs. 149/2011); di ineleggibilità (art. 60 D.lgs. 267/2000- art. 1 co. 734 L. 296/2006)); incompati</w:t>
      </w:r>
      <w:r w:rsidR="005D5D46">
        <w:rPr>
          <w:rFonts w:ascii="Arial" w:hAnsi="Arial" w:cs="Arial"/>
          <w:b/>
          <w:bCs/>
          <w:color w:val="000000"/>
          <w:sz w:val="20"/>
          <w:szCs w:val="20"/>
        </w:rPr>
        <w:t>bilità (art. 63 D.lgs. 267/2000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); inesistenza causa ostativa ex art. 2382 c.c. 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__________________________________________________________________________</w:t>
      </w:r>
    </w:p>
    <w:p w:rsidR="00AE2182" w:rsidRDefault="00AE218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 il _______________________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 w:rsidP="005D5D4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fini della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nomina nella carica</w:t>
      </w:r>
      <w:r w:rsidR="005D5D46">
        <w:rPr>
          <w:rFonts w:ascii="Arial" w:hAnsi="Arial" w:cs="Arial"/>
          <w:b/>
          <w:bCs/>
          <w:color w:val="000000"/>
          <w:sz w:val="20"/>
          <w:szCs w:val="20"/>
        </w:rPr>
        <w:t xml:space="preserve"> d</w:t>
      </w:r>
      <w:r w:rsidR="001A398D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r w:rsidR="007C71A3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AE2182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</w:t>
      </w:r>
      <w:proofErr w:type="gramStart"/>
      <w:r w:rsidR="00AE2182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proofErr w:type="gramEnd"/>
      <w:r w:rsidR="00AE218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C71A3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</w:t>
      </w:r>
      <w:r w:rsidR="001A398D">
        <w:rPr>
          <w:rFonts w:ascii="Arial" w:hAnsi="Arial" w:cs="Arial"/>
          <w:b/>
          <w:bCs/>
          <w:color w:val="000000"/>
          <w:sz w:val="20"/>
          <w:szCs w:val="20"/>
        </w:rPr>
        <w:t xml:space="preserve">della </w:t>
      </w:r>
      <w:r w:rsidR="00AE2182">
        <w:rPr>
          <w:rFonts w:ascii="Arial" w:hAnsi="Arial" w:cs="Arial"/>
          <w:b/>
          <w:bCs/>
          <w:color w:val="000000"/>
          <w:sz w:val="20"/>
          <w:szCs w:val="20"/>
        </w:rPr>
        <w:t>SRR Enna Provincia ATO 6 Scpa,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presa visione del D.</w:t>
      </w:r>
      <w:r w:rsidR="005D5D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Lgs. 39/2013, D.</w:t>
      </w:r>
      <w:r w:rsidR="005D5D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Lgs. 267/2000 D.</w:t>
      </w:r>
      <w:r w:rsidR="005D5D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Lgs. 235/2012, </w:t>
      </w:r>
    </w:p>
    <w:p w:rsidR="005D5D46" w:rsidRDefault="005D5D46" w:rsidP="005D5D46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- ai sensi degli articoli 46 e 47 del D.P.R. 28 dicembre 2000, n. 445 (Testo unico delle disposizioni legislative e regolamentari in materia di documentazione amministrativa);</w:t>
      </w:r>
    </w:p>
    <w:p w:rsidR="001E3222" w:rsidRDefault="001E3222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- consapevole dei controlli sulla veridicità delle dichiarazioni che l’amministrazione procedente è tenuta ad effettuare, ai sensi dell’art. 71 dello stesso D.P.R. 445/2000, e delle sanzioni previste dagli artt. 75 e 76 dello stesso D.P.R. 445/2000;</w:t>
      </w:r>
    </w:p>
    <w:p w:rsidR="001E3222" w:rsidRDefault="001E3222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- consapevole che, ai sensi dell’articolo 20, comma 5, del D.</w:t>
      </w:r>
      <w:r w:rsidR="001A39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Lgs. 39/2013 la dichiarazione mendace comporta la inconferibilità di qualsivoglia incarico di cui allo stesso decreto legislativo per un periodo di 5 anni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riferimento alle cause 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INCANDIDABILITA’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previste dall’art. 10 del D.lgs. 235/2012 ed art. 6 D.lgs. 149/2011</w:t>
            </w:r>
          </w:p>
        </w:tc>
      </w:tr>
    </w:tbl>
    <w:p w:rsidR="001E3222" w:rsidRDefault="001E3222">
      <w:pPr>
        <w:autoSpaceDE w:val="0"/>
        <w:rPr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b/>
          <w:bCs/>
          <w:color w:val="000000"/>
          <w:sz w:val="20"/>
          <w:szCs w:val="20"/>
        </w:rPr>
        <w:t xml:space="preserve">1. </w:t>
      </w: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color w:val="000000"/>
          <w:sz w:val="20"/>
          <w:szCs w:val="20"/>
        </w:rPr>
        <w:t>non incorrere</w:t>
      </w:r>
      <w:r>
        <w:rPr>
          <w:rFonts w:ascii="Arial" w:hAnsi="Arial" w:cs="Arial"/>
          <w:color w:val="000000"/>
          <w:sz w:val="20"/>
          <w:szCs w:val="20"/>
        </w:rPr>
        <w:t xml:space="preserve"> in alcuna delle cause di incandidabilità di cui </w:t>
      </w:r>
      <w:r>
        <w:rPr>
          <w:rFonts w:ascii="Arial" w:hAnsi="Arial" w:cs="Arial"/>
          <w:b/>
          <w:color w:val="000000"/>
          <w:sz w:val="20"/>
          <w:szCs w:val="20"/>
        </w:rPr>
        <w:t>all’art. 10 D.lgs. 235/2012 – art. 6 D.lgs.149/2011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riferimento alle cause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OSTATIVE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previste dall’art. 2382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cod.civ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b/>
          <w:bCs/>
          <w:color w:val="000000"/>
          <w:sz w:val="20"/>
          <w:szCs w:val="20"/>
        </w:rPr>
        <w:t xml:space="preserve">1. </w:t>
      </w: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color w:val="000000"/>
          <w:sz w:val="20"/>
          <w:szCs w:val="20"/>
        </w:rPr>
        <w:t>non incorrere</w:t>
      </w:r>
      <w:r>
        <w:rPr>
          <w:rFonts w:ascii="Arial" w:hAnsi="Arial" w:cs="Arial"/>
          <w:color w:val="000000"/>
          <w:sz w:val="20"/>
          <w:szCs w:val="20"/>
        </w:rPr>
        <w:t xml:space="preserve"> in alcuna delle cause ostative di cui </w:t>
      </w:r>
      <w:r>
        <w:rPr>
          <w:rFonts w:ascii="Arial" w:hAnsi="Arial" w:cs="Arial"/>
          <w:b/>
          <w:color w:val="000000"/>
          <w:sz w:val="20"/>
          <w:szCs w:val="20"/>
        </w:rPr>
        <w:t>all’art. 2382 cod.</w:t>
      </w:r>
      <w:r w:rsidR="001A39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civ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E3222" w:rsidRDefault="001E3222">
      <w:pPr>
        <w:autoSpaceDE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 w:rsidP="00C05123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riferimento alle cause 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INELEGGIBILITA’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previste da</w:t>
            </w:r>
            <w:r w:rsidR="00C05123">
              <w:rPr>
                <w:rFonts w:ascii="Arial" w:hAnsi="Arial" w:cs="Arial"/>
                <w:color w:val="000000"/>
                <w:sz w:val="20"/>
                <w:szCs w:val="20"/>
              </w:rPr>
              <w:t>ll’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art. 60 del D.lgs. 267/2000 ed art. 1 co. 734 L. 296/2006</w:t>
            </w:r>
          </w:p>
        </w:tc>
      </w:tr>
    </w:tbl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b/>
          <w:bCs/>
          <w:color w:val="000000"/>
          <w:sz w:val="20"/>
          <w:szCs w:val="20"/>
        </w:rPr>
        <w:t xml:space="preserve">1. </w:t>
      </w: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color w:val="000000"/>
          <w:sz w:val="20"/>
          <w:szCs w:val="20"/>
        </w:rPr>
        <w:t>non incorrere</w:t>
      </w:r>
      <w:r>
        <w:rPr>
          <w:rFonts w:ascii="Arial" w:hAnsi="Arial" w:cs="Arial"/>
          <w:color w:val="000000"/>
          <w:sz w:val="20"/>
          <w:szCs w:val="20"/>
        </w:rPr>
        <w:t xml:space="preserve"> in alcuna delle cause di ineleggibilità di cui agli </w:t>
      </w:r>
      <w:r>
        <w:rPr>
          <w:rFonts w:ascii="Arial" w:hAnsi="Arial" w:cs="Arial"/>
          <w:b/>
          <w:color w:val="000000"/>
          <w:sz w:val="20"/>
          <w:szCs w:val="20"/>
        </w:rPr>
        <w:t>artt. 60 D.lgs. 267/2000 ed art. 1 comma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734 L. 296/2006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tabs>
          <w:tab w:val="left" w:pos="4440"/>
        </w:tabs>
        <w:autoSpaceDE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riferimento alle cause 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INCONFERIBILITA'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previste dagli artt. 3 e 7 del D.</w:t>
            </w:r>
            <w:r w:rsidR="00FD73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gs. 39/2013</w:t>
            </w:r>
          </w:p>
        </w:tc>
      </w:tr>
    </w:tbl>
    <w:p w:rsidR="001E3222" w:rsidRDefault="001E3222">
      <w:pPr>
        <w:autoSpaceDE w:val="0"/>
        <w:rPr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b/>
          <w:bCs/>
          <w:color w:val="000000"/>
          <w:sz w:val="20"/>
          <w:szCs w:val="20"/>
        </w:rPr>
        <w:t xml:space="preserve">1. </w:t>
      </w: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color w:val="000000"/>
          <w:sz w:val="20"/>
          <w:szCs w:val="20"/>
        </w:rPr>
        <w:t>non incorrere</w:t>
      </w:r>
      <w:r>
        <w:rPr>
          <w:rFonts w:ascii="Arial" w:hAnsi="Arial" w:cs="Arial"/>
          <w:color w:val="000000"/>
          <w:sz w:val="20"/>
          <w:szCs w:val="20"/>
        </w:rPr>
        <w:t xml:space="preserve"> in alcuna delle cause di inconferibilità previste dagli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artt. 3 e 7 del D.</w:t>
      </w:r>
      <w:r w:rsidR="00FD7374"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gs. 39/2013 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218"/>
      </w:tblGrid>
      <w:tr w:rsidR="001E3222"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snapToGrid w:val="0"/>
            </w:pPr>
          </w:p>
        </w:tc>
      </w:tr>
    </w:tbl>
    <w:p w:rsidR="001E3222" w:rsidRDefault="001E3222">
      <w:pPr>
        <w:autoSpaceDE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riferimento alle cause 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INCOMPATIBILITA’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previste dall’art.63 D.</w:t>
            </w:r>
            <w:r w:rsidR="00FD73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gs. 267/2000</w:t>
            </w:r>
          </w:p>
        </w:tc>
      </w:tr>
    </w:tbl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jc w:val="both"/>
      </w:pP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non trovarsi </w:t>
      </w:r>
      <w:r>
        <w:rPr>
          <w:rFonts w:ascii="Arial" w:hAnsi="Arial" w:cs="Arial"/>
          <w:color w:val="000000"/>
          <w:sz w:val="20"/>
          <w:szCs w:val="20"/>
        </w:rPr>
        <w:t>in alcuna delle situazioni di incompatibilità previste dall'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art.63 D.lgs. 267/2000 </w:t>
      </w:r>
    </w:p>
    <w:p w:rsidR="001E3222" w:rsidRDefault="00FD7374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E3222">
        <w:rPr>
          <w:rFonts w:ascii="Arial" w:hAnsi="Arial" w:cs="Arial"/>
          <w:color w:val="000000"/>
          <w:sz w:val="20"/>
          <w:szCs w:val="20"/>
        </w:rPr>
        <w:t>vvero</w:t>
      </w:r>
    </w:p>
    <w:p w:rsidR="00FD7374" w:rsidRDefault="00FD7374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trovarsi </w:t>
      </w:r>
      <w:r>
        <w:rPr>
          <w:rFonts w:ascii="Arial" w:hAnsi="Arial" w:cs="Arial"/>
          <w:color w:val="000000"/>
          <w:sz w:val="20"/>
          <w:szCs w:val="20"/>
        </w:rPr>
        <w:t xml:space="preserve">nella seguente situazione di incompatibilità prevista </w:t>
      </w:r>
      <w:r>
        <w:rPr>
          <w:rFonts w:ascii="Arial" w:hAnsi="Arial" w:cs="Arial"/>
          <w:b/>
          <w:color w:val="000000"/>
          <w:sz w:val="20"/>
          <w:szCs w:val="20"/>
        </w:rPr>
        <w:t>dall’art. 63 D</w:t>
      </w:r>
      <w:r w:rsidR="001A398D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lgs. 267/2000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7374" w:rsidRDefault="00FD7374">
      <w:pPr>
        <w:autoSpaceDE w:val="0"/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spacing w:line="480" w:lineRule="auto"/>
        <w:jc w:val="both"/>
      </w:pPr>
      <w:r>
        <w:rPr>
          <w:rFonts w:ascii="Arial" w:hAnsi="Arial" w:cs="Arial"/>
          <w:b/>
          <w:bCs/>
          <w:color w:val="000000"/>
          <w:sz w:val="13"/>
          <w:szCs w:val="13"/>
        </w:rPr>
        <w:lastRenderedPageBreak/>
        <w:t>_________________________________________________________________________________________________________________________________________</w:t>
      </w:r>
    </w:p>
    <w:p w:rsidR="001E3222" w:rsidRDefault="001E3222">
      <w:pPr>
        <w:autoSpaceDE w:val="0"/>
        <w:spacing w:line="480" w:lineRule="auto"/>
        <w:jc w:val="both"/>
      </w:pPr>
      <w:r>
        <w:rPr>
          <w:rFonts w:ascii="Arial" w:hAnsi="Arial" w:cs="Arial"/>
          <w:b/>
          <w:bCs/>
          <w:color w:val="000000"/>
          <w:sz w:val="13"/>
          <w:szCs w:val="13"/>
        </w:rPr>
        <w:t>_________________________________________________________________________________________________________________________________________</w:t>
      </w:r>
    </w:p>
    <w:p w:rsidR="001E3222" w:rsidRDefault="001E3222">
      <w:pPr>
        <w:autoSpaceDE w:val="0"/>
        <w:spacing w:line="480" w:lineRule="auto"/>
        <w:jc w:val="both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_________________________________________________________________________________________________________________________________________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42"/>
      </w:tblGrid>
      <w:tr w:rsidR="001E3222"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22" w:rsidRDefault="001E3222">
            <w:pPr>
              <w:autoSpaceDE w:val="0"/>
              <w:spacing w:line="480" w:lineRule="auto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riferimento alle cause 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INCOMPATIBILITA’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previste dall’art.13 D.lgs. 39/2013 </w:t>
            </w:r>
          </w:p>
        </w:tc>
      </w:tr>
    </w:tbl>
    <w:p w:rsidR="001E3222" w:rsidRDefault="001E3222">
      <w:pPr>
        <w:autoSpaceDE w:val="0"/>
        <w:spacing w:line="48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jc w:val="both"/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non trovarsi </w:t>
      </w:r>
      <w:r>
        <w:rPr>
          <w:rFonts w:ascii="Arial" w:hAnsi="Arial" w:cs="Arial"/>
          <w:color w:val="000000"/>
          <w:sz w:val="20"/>
          <w:szCs w:val="20"/>
        </w:rPr>
        <w:t xml:space="preserve">in alcuna delle situazioni di incompatibilità previste dall'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13 del D.</w:t>
      </w:r>
      <w:r w:rsidR="00FD7374"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gs. 39/2013 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>ovvero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trovarsi </w:t>
      </w:r>
      <w:r>
        <w:rPr>
          <w:rFonts w:ascii="Arial" w:hAnsi="Arial" w:cs="Arial"/>
          <w:color w:val="000000"/>
          <w:sz w:val="20"/>
          <w:szCs w:val="20"/>
        </w:rPr>
        <w:t xml:space="preserve">nella seguente situazione di incompatibilità prevista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dall'art. 13 del D. Lgs. 39/2013  </w:t>
      </w:r>
    </w:p>
    <w:p w:rsidR="001E3222" w:rsidRDefault="001E3222">
      <w:pPr>
        <w:autoSpaceDE w:val="0"/>
        <w:spacing w:line="480" w:lineRule="auto"/>
      </w:pPr>
      <w:r>
        <w:rPr>
          <w:rFonts w:ascii="Arial" w:hAnsi="Arial" w:cs="Arial"/>
          <w:b/>
          <w:bCs/>
          <w:color w:val="000000"/>
          <w:sz w:val="13"/>
          <w:szCs w:val="13"/>
        </w:rPr>
        <w:t>_________________________________________________________________________________________________________________________________________</w:t>
      </w:r>
    </w:p>
    <w:p w:rsidR="001E3222" w:rsidRDefault="001E3222">
      <w:pPr>
        <w:autoSpaceDE w:val="0"/>
        <w:spacing w:line="480" w:lineRule="auto"/>
      </w:pPr>
      <w:r>
        <w:rPr>
          <w:rFonts w:ascii="Arial" w:hAnsi="Arial" w:cs="Arial"/>
          <w:b/>
          <w:bCs/>
          <w:color w:val="000000"/>
          <w:sz w:val="13"/>
          <w:szCs w:val="13"/>
        </w:rPr>
        <w:t>_________________________________________________________________________________________________________________________________________</w:t>
      </w:r>
    </w:p>
    <w:p w:rsidR="001E3222" w:rsidRDefault="001E3222">
      <w:pPr>
        <w:autoSpaceDE w:val="0"/>
        <w:spacing w:line="480" w:lineRule="auto"/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>Data _________________________                        Firma_______________________________________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_________________________________________________________________________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 INOLTRE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di impegnarsi, se nominato, a scegliere, a pena di decadenza, entro il termine perentorio di 10 gg. dalla nomina tra la permanenza nell’incarico oggetto della nomina e lo svolgimento di altri incarichi e/o cariche con esso incompatibili di cui alla precedente dichiarazione; la scelta, unitamente a copia della lettera di dimissioni, dovrà essere comunicata entro il termine sopra indicato</w:t>
      </w:r>
      <w:r w:rsidR="005D5D46">
        <w:rPr>
          <w:rFonts w:ascii="Arial" w:hAnsi="Arial" w:cs="Arial"/>
          <w:color w:val="000000"/>
          <w:sz w:val="20"/>
          <w:szCs w:val="20"/>
        </w:rPr>
        <w:t>.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di impegnarsi, se nominato, a comunicare tempestivamente il sopravvenire di cause di inconferibilità e/o incompatibilità di cui alla precedente dichiarazione.</w:t>
      </w: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1E3222" w:rsidRDefault="001E3222">
      <w:pPr>
        <w:autoSpaceDE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>Data _________________________ Firma________________________________________________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22" w:rsidRDefault="005517C0">
      <w:pPr>
        <w:autoSpaceDE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Allegato</w:t>
      </w:r>
      <w:r w:rsidR="001E322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E3222" w:rsidRPr="005517C0" w:rsidRDefault="001E3222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5517C0">
        <w:rPr>
          <w:rFonts w:ascii="Arial" w:hAnsi="Arial" w:cs="Arial"/>
          <w:color w:val="000000"/>
          <w:sz w:val="20"/>
          <w:szCs w:val="20"/>
        </w:rPr>
        <w:t xml:space="preserve">copia </w:t>
      </w:r>
      <w:r>
        <w:rPr>
          <w:rFonts w:ascii="Arial" w:hAnsi="Arial" w:cs="Arial"/>
          <w:color w:val="000000"/>
          <w:sz w:val="20"/>
          <w:szCs w:val="20"/>
        </w:rPr>
        <w:t>documento di identità in corso di validità</w:t>
      </w:r>
    </w:p>
    <w:p w:rsidR="001E3222" w:rsidRDefault="001E3222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E3222">
      <w:headerReference w:type="default" r:id="rId6"/>
      <w:headerReference w:type="firs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3" w:rsidRDefault="00A24D43">
      <w:r>
        <w:separator/>
      </w:r>
    </w:p>
  </w:endnote>
  <w:endnote w:type="continuationSeparator" w:id="0">
    <w:p w:rsidR="00A24D43" w:rsidRDefault="00A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3" w:rsidRDefault="00A24D43">
      <w:r>
        <w:separator/>
      </w:r>
    </w:p>
  </w:footnote>
  <w:footnote w:type="continuationSeparator" w:id="0">
    <w:p w:rsidR="00A24D43" w:rsidRDefault="00A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22" w:rsidRDefault="001E3222">
    <w:pPr>
      <w:pStyle w:val="Intestazione"/>
    </w:pPr>
    <w:r>
      <w:tab/>
    </w:r>
    <w:r>
      <w:tab/>
      <w:t>Allegato 4)</w:t>
    </w:r>
  </w:p>
  <w:p w:rsidR="001E3222" w:rsidRDefault="001E32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22" w:rsidRDefault="001E32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0"/>
    <w:rsid w:val="00197EBA"/>
    <w:rsid w:val="001A398D"/>
    <w:rsid w:val="001E3222"/>
    <w:rsid w:val="002865D8"/>
    <w:rsid w:val="00317AB0"/>
    <w:rsid w:val="003455B2"/>
    <w:rsid w:val="003D6920"/>
    <w:rsid w:val="004226C8"/>
    <w:rsid w:val="004B53F0"/>
    <w:rsid w:val="005517C0"/>
    <w:rsid w:val="005A1565"/>
    <w:rsid w:val="005D5D46"/>
    <w:rsid w:val="006636DC"/>
    <w:rsid w:val="007C71A3"/>
    <w:rsid w:val="008D1A2D"/>
    <w:rsid w:val="009B196C"/>
    <w:rsid w:val="00A24D43"/>
    <w:rsid w:val="00AE2182"/>
    <w:rsid w:val="00B91359"/>
    <w:rsid w:val="00BC61AA"/>
    <w:rsid w:val="00C05123"/>
    <w:rsid w:val="00C676BC"/>
    <w:rsid w:val="00E97017"/>
    <w:rsid w:val="00EE73F8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91EE01"/>
  <w15:chartTrackingRefBased/>
  <w15:docId w15:val="{05B880BE-FD15-4D35-9093-3154D8C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4210</Characters>
  <Application>Microsoft Office Word</Application>
  <DocSecurity>0</DocSecurity>
  <Lines>263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e.catapano</dc:creator>
  <cp:keywords/>
  <cp:lastModifiedBy>UTENTE</cp:lastModifiedBy>
  <cp:revision>2</cp:revision>
  <cp:lastPrinted>1601-01-01T00:00:00Z</cp:lastPrinted>
  <dcterms:created xsi:type="dcterms:W3CDTF">2022-02-17T10:06:00Z</dcterms:created>
  <dcterms:modified xsi:type="dcterms:W3CDTF">2022-02-17T10:06:00Z</dcterms:modified>
</cp:coreProperties>
</file>